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a temelju članka 114. Zakona o zaštiti i očuvanju kulturnih dobara („Narodne novine“, broj 157/03, 87/09, 88/10, 61/11, 25/12, 136/12, 157/13, 152/14, 98/15, 44/17 i 90/18) i članka 38. Statuta Općine Pitomača ("Službene novine“ Općine Pitomača, broj 2/13-pročišćeni tekst, 2/15. i 1/18) Općinski načelnik Općine Pitomača daje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I Z V J E Š Ć E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o izvršenju Programa utroška sredstava </w:t>
      </w:r>
      <w:r>
        <w:rPr>
          <w:rFonts w:ascii="Tahoma" w:hAnsi="Tahoma" w:cs="Tahoma"/>
          <w:b/>
          <w:i/>
          <w:color w:val="000000" w:themeColor="text1"/>
        </w:rPr>
        <w:t>spomeničke rente za 2019. godinu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I.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Sredstva spomeničke rente za 2019. godinu ostvarena su u iznosu od 164,79 kuna.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eastAsia="Times New Roman" w:hAnsi="Tahoma" w:cs="Tahoma"/>
          <w:color w:val="000000" w:themeColor="text1"/>
          <w:lang w:val="de-DE"/>
        </w:rPr>
      </w:pPr>
      <w:r>
        <w:rPr>
          <w:rFonts w:ascii="Tahoma" w:hAnsi="Tahoma" w:cs="Tahoma"/>
          <w:color w:val="000000" w:themeColor="text1"/>
        </w:rPr>
        <w:t xml:space="preserve">Sredstva iz točke I. ovog Izvješća utrošena su za provođenje aktivnosti na projektu Objekti u kulturi kroz program </w:t>
      </w:r>
      <w:r>
        <w:rPr>
          <w:rFonts w:ascii="Tahoma" w:hAnsi="Tahoma" w:cs="Tahoma"/>
          <w:color w:val="000000" w:themeColor="text1"/>
          <w:lang w:val="de-DE"/>
        </w:rPr>
        <w:t>zaštite i očuvanje kulturnih dobara kroz Projekt „Preradović &amp; Csokonai“ sufinanciran od strane INTERREG Mađarska - Hrvatska ( 164,79 kuna).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  <w:color w:val="FF0000"/>
          <w:lang w:val="de-DE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III.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Ovo Izvješće uputiti će se Općinskom vijeću Općine Pitomača na usvajanje.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KLASA: 402-07/20-01/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URBROJ: 2189/16-20-1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Pitomači, 10. siječnja 2020.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OPĆINSKI NAČELNIK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Željko Grgačić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left="6372" w:right="-284" w:firstLine="708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left="6372" w:right="-284" w:firstLine="708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left="6372" w:right="-284" w:firstLine="708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left="6372"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P R I J E D L O G -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temelju članka 35. Zakona o lokalnoj i područnoj (regionalnoj) samoupravi („Narodne novine“, broj 33/01, 60/01, 129/05, 109/07, 125/08, 36/09, 150/11, 144/12, 19/13, 137/15, 123/17. i 98/19) i  članka 28. Statuta Općine Pitomača ("Službene novine“ Općine Pitomača, broj 2/13-pročišćeni tekst, 2/15 i 1/18), Općinsko vijeće Općine Pitomača na __. sjednici održanoj dana _________ 2020. godine, donijelo je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Z A K L J U Č A K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o prihvaćanju Izvješća o izvršenju Programa utroška sredstava  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spomeničke rente za 2019 godinu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i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i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Članak 1.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Općinsko vijeće Općine Pitomača prihvaća Izvješće o izvršenju Programa utroška sredstava </w:t>
      </w:r>
      <w:r>
        <w:rPr>
          <w:rFonts w:ascii="Tahoma" w:hAnsi="Tahoma" w:cs="Tahoma"/>
          <w:color w:val="000000" w:themeColor="text1"/>
        </w:rPr>
        <w:t>spomeničke rente</w:t>
      </w:r>
      <w:r>
        <w:rPr>
          <w:rFonts w:ascii="Tahoma" w:hAnsi="Tahoma" w:cs="Tahoma"/>
        </w:rPr>
        <w:t xml:space="preserve"> za 2019. godinu. 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Izvješće iz prethodnog stavka ovog članka sastavni je dio ovog Zaključka. 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Članak 2.</w:t>
      </w:r>
    </w:p>
    <w:p w:rsidR="006B49BC" w:rsidRDefault="006B49BC" w:rsidP="006B49BC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Ovaj Zaključak objaviti će se u „Službenim novinama“ Općine Pitomača. 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KLASA: 402-07/2001/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URBROJ: 2189/16-20-2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Pitomači, ___________ 2020.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6B49BC" w:rsidRDefault="006B49BC" w:rsidP="006B49BC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 VIJEĆE</w:t>
      </w: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rPr>
          <w:rFonts w:ascii="Tahoma" w:hAnsi="Tahoma" w:cs="Tahoma"/>
        </w:rPr>
      </w:pPr>
    </w:p>
    <w:p w:rsidR="006B49BC" w:rsidRDefault="006B49BC" w:rsidP="006B49BC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PREDSJEDNIK:</w:t>
      </w:r>
    </w:p>
    <w:p w:rsidR="006B49BC" w:rsidRDefault="006B49BC" w:rsidP="006B49BC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Rikard Bakan,mag.oec.</w:t>
      </w:r>
    </w:p>
    <w:p w:rsidR="006B49BC" w:rsidRDefault="006B49BC" w:rsidP="006B49BC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bCs/>
        </w:rPr>
      </w:pPr>
    </w:p>
    <w:p w:rsidR="006B49BC" w:rsidRDefault="006B49BC" w:rsidP="006B49BC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u w:val="single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u w:val="single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u w:val="single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u w:val="single"/>
        </w:rPr>
      </w:pPr>
    </w:p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u w:val="single"/>
        </w:rPr>
      </w:pPr>
    </w:p>
    <w:p w:rsidR="006B49BC" w:rsidRDefault="006B49BC" w:rsidP="006B49BC"/>
    <w:p w:rsidR="006B49BC" w:rsidRDefault="006B49BC" w:rsidP="006B49BC"/>
    <w:p w:rsidR="006B49BC" w:rsidRDefault="006B49BC" w:rsidP="006B49BC">
      <w:pPr>
        <w:spacing w:after="0"/>
        <w:ind w:right="-284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sectPr w:rsidR="006B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E63"/>
    <w:multiLevelType w:val="hybridMultilevel"/>
    <w:tmpl w:val="0A941292"/>
    <w:lvl w:ilvl="0" w:tplc="4E5221EC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27F4F27"/>
    <w:multiLevelType w:val="hybridMultilevel"/>
    <w:tmpl w:val="B65A1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5"/>
    <w:rsid w:val="001E64D5"/>
    <w:rsid w:val="006B49BC"/>
    <w:rsid w:val="009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1CC5-6AB0-4D5D-98EF-CCB503C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BC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9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9BC"/>
    <w:pPr>
      <w:widowControl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6B49B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B4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uiPriority w:val="99"/>
    <w:semiHidden/>
    <w:rsid w:val="006B49B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semiHidden/>
    <w:rsid w:val="006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AA4E-440F-4436-8F50-37FD5589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2</cp:revision>
  <dcterms:created xsi:type="dcterms:W3CDTF">2020-02-12T11:25:00Z</dcterms:created>
  <dcterms:modified xsi:type="dcterms:W3CDTF">2020-02-12T11:26:00Z</dcterms:modified>
</cp:coreProperties>
</file>