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12" w:rsidRDefault="00E40A12" w:rsidP="00E40A12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10EEC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>- P R I J E D L O G -</w:t>
      </w:r>
    </w:p>
    <w:p w:rsidR="00E40A12" w:rsidRDefault="00E40A12" w:rsidP="00E40A12">
      <w:pPr>
        <w:pStyle w:val="western"/>
        <w:spacing w:before="0" w:beforeAutospacing="0"/>
        <w:ind w:right="-290" w:firstLine="708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temelju članka 14. stavak 1. Zakona o Proračunu („Narodne novine“, broj 87/08 i 136/12. i 15/15) i članka 28. Statuta Općine Pitomača („Službene novine“ Općine Pitomača, broj 2/13 - pročišćeni tekst, 2/15. i 1/18)  Općinsko vijeće Općine Pitomača, na __. sjednici održanoj _________ 2019. godine, donosi</w:t>
      </w:r>
    </w:p>
    <w:p w:rsidR="00E40A12" w:rsidRDefault="00E40A12" w:rsidP="00E40A12">
      <w:pPr>
        <w:pStyle w:val="western"/>
        <w:spacing w:before="0" w:beforeAutospacing="0"/>
        <w:ind w:right="-290" w:firstLine="708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   O D L U K U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o izvršavanju Proračuna Općine Pitomača za 2020. godinu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UVOD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Ovom Odlukom uređuje se način izvršavanja Proračuna Općine Pitomača za 2020. godinu (u daljem tekstu: Proračun) upravljanje prihodima i primicima, te rashodima i izdacima, opseg zaduživanja, upravljanje javnim dugom, financijskom i nefinancijskom imovinom, te propisuju prava i obveze korisnika proračunskih sredstava, pojedine ovlasti u izvršavanju proračuna, kazne za neispunjenje obveza i druga pitanja vezana uz izvršavanje Proračuna.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2.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izvršavanju proračuna primjenjuju se odredbe Zakona o proračunu („Narodne novine“, broj 87/08, 136/12. i </w:t>
      </w:r>
      <w:r>
        <w:rPr>
          <w:rFonts w:ascii="Tahoma" w:hAnsi="Tahoma" w:cs="Tahoma"/>
          <w:color w:val="000000" w:themeColor="text1"/>
          <w:sz w:val="22"/>
          <w:szCs w:val="22"/>
        </w:rPr>
        <w:t>15/15</w:t>
      </w:r>
      <w:r>
        <w:rPr>
          <w:rFonts w:ascii="Tahoma" w:hAnsi="Tahoma" w:cs="Tahoma"/>
          <w:sz w:val="22"/>
          <w:szCs w:val="22"/>
        </w:rPr>
        <w:t>) te Zakona o financiranju jedinica lokalne i područne (regionalne) samouprave („Narodne novine“, broj 127/17</w:t>
      </w:r>
      <w:r>
        <w:rPr>
          <w:rFonts w:ascii="Tahoma" w:hAnsi="Tahoma" w:cs="Tahoma"/>
          <w:color w:val="000000" w:themeColor="text1"/>
          <w:sz w:val="22"/>
          <w:szCs w:val="22"/>
        </w:rPr>
        <w:t>).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STRUKTURA PRORAČUNA                                                                                                                                       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3.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Proračun se sastoji od općeg i posebnog dijela. Opći dio Proračuna sastoji se od Računa prihoda i rashoda, a posebni dio Proračuna sadrži raspored ukupno planiranih rashoda i izdataka za tekuću proračunsku godinu prema programskoj, organizacijskoj, ekonomskoj, funkcijskoj klasifikaciji i prema izvorima.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IZVRŠAVANJE PRORAČUNA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4.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Sredstva u Proračunu osiguravaju se proračunskim korisnicima prema utvrđenim programima. Nakon donošenja Proračuna Odsjek za financije i proračun Općine Pitomača (u nastavku: Odsjek) obavezan je izvijestiti korisnike sredstava Proračuna o odobrenim sredstvima. 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5.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Proračunski korisnik na temelju iznosa utvrđenih Proračunom obvezan je sastaviti Financijski plan za proračunsku godinu, te financijski plan temeljem kojeg se vrši isplata proračunskih sredstava korisniku.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6.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Prihodi Proračuna ubiru se i uplaćuju u Proračun u skladu sa zakonom ili drugim propisima,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stvarna naplata prihoda nije ograničena procjenom prihoda u Proračunu.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Proračunski korisnici odgovorni su za naplatu prihoda i primitaka iz svoje nadležnosti.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Sredstva se u Proračunu osiguravaju korisnicima koji su u njegovom posebnom dijelu određeni za nositelje sredstava na pojedinim pozicijama, a mogu ih koristiti samo za namjene utvrđene zakonom, drugim propisima i odlukama općine, u visini sredstava određenih Proračunom.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Proračunski korisnici mogu sklapati ugovore o nabavi roba, obavljanje usluga i ustupanje radova u visini dodijeljenih sredstava, a u skladu sa godišnjim planom nabave i zakonom.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>Članak 7.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Korisnici proračunskih sredstava obvezni su podnositi izvješća o izvršenju predloženog programa djelovanja u tekućoj godini u skladu sa odredbama ove Odluke, a na poziv Općinskog načelnika dodatno i u tijeku godine.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8.</w:t>
      </w:r>
    </w:p>
    <w:p w:rsidR="00E40A12" w:rsidRDefault="00E40A12" w:rsidP="00E40A12">
      <w:pPr>
        <w:pStyle w:val="NormalWeb"/>
        <w:spacing w:before="0" w:beforeAutospacing="0" w:after="0"/>
        <w:ind w:right="-29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Općinski načelnik je naredbodavac za izvršavanje Proračuna u skladu sa zakonom.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Općinski načelnik može u određenim slučajevima, zbog neusklađenosti priliva izmijeniti slijed doznake sredstava pojedinim proračunskim korisnicima, a u slučaju potrebe predložiti izmjene i dopune Proračuna.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Općinski načelnik</w:t>
      </w:r>
      <w:r>
        <w:rPr>
          <w:rFonts w:ascii="Tahoma" w:hAnsi="Tahoma" w:cs="Tahoma"/>
          <w:sz w:val="22"/>
          <w:szCs w:val="22"/>
        </w:rPr>
        <w:t xml:space="preserve"> može odobriti preraspodjelu sredstava unutar pojedinog razdjela, s time da umanjenje pojedine stavke ne može biti veće od 5%. O izvršenoj preraspodjeli </w:t>
      </w:r>
      <w:r>
        <w:rPr>
          <w:rFonts w:ascii="Tahoma" w:hAnsi="Tahoma" w:cs="Tahoma"/>
          <w:color w:val="000000"/>
          <w:sz w:val="22"/>
          <w:szCs w:val="22"/>
        </w:rPr>
        <w:t>Općinski načelnik</w:t>
      </w:r>
      <w:r>
        <w:rPr>
          <w:rFonts w:ascii="Tahoma" w:hAnsi="Tahoma" w:cs="Tahoma"/>
          <w:sz w:val="22"/>
          <w:szCs w:val="22"/>
        </w:rPr>
        <w:t xml:space="preserve"> dužan je izvijestiti Općinsko vijeće na prvoj slijedećoj sjednici, te predložiti izmjene i dopune Proračuna. 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Općinski načelnik</w:t>
      </w:r>
      <w:r>
        <w:rPr>
          <w:rFonts w:ascii="Tahoma" w:hAnsi="Tahoma" w:cs="Tahoma"/>
          <w:sz w:val="22"/>
          <w:szCs w:val="22"/>
        </w:rPr>
        <w:t xml:space="preserve"> odgovoran je Općinskom vijeću za izvršavanje proračuna, te ga je dužan izvijestiti o izvršenju u zakonskim rokovima. U slučaju da se proračunska sredstva koriste suprotno Proračunu i propisima, načelnik općine može obustaviti Odluku o izvršavanju dodijeljenih sredstava. 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Odgovorna osoba proračunskog korisnika odgovorna je za zakonito i pravilno korištenje proračunskih sredstava.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9.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slučaju da tijekom proračunske godine dođe do znatnije neusklađenosti planiranih prihoda i izdataka, predložiti će se Općinskom vijeću da donese izmjene i dopune važećeg Proračuna.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Svaka druga preraspodjela proračunskih sredstava može se izvršiti jedino u skladu sa odredbama Zakona o proračunu.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10.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Plaćanje predujma proračunski korisnici mogu izvršiti samo iznimno i to na temelju prethodne suglasnosti </w:t>
      </w:r>
      <w:r>
        <w:rPr>
          <w:rFonts w:ascii="Tahoma" w:hAnsi="Tahoma" w:cs="Tahoma"/>
          <w:color w:val="000000"/>
          <w:sz w:val="22"/>
          <w:szCs w:val="22"/>
        </w:rPr>
        <w:t>Općinskog načelnika.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11.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Pogrešno ili više uplaćeni prihodi u Proračun vraćaju se uplatiteljima na teret tih sredstava.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Ako se naknadno utvrdi da je isplata iz Proračuna izvršena nezakonito ili neopravdano proračunski korisnik mora odmah zahtijevati povrat sredstava u Proračun. 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12.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Prioritet u realizaciji Proračuna imaju pozicije kojima se pokrivaju kreditne i ostale ugovorne obveze stvorene tijekom ranijeg perioda.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Sredstva za kapitalne pomoći doznačivati će se t.d. Komunalno Pitomača d.o.o., Plinkom d.o.o. i Vodakom d.o.o., za radove kojih su isti investitori, a u skladu sa prihvaćenim programima.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UPRAVLJANJE IMOVINOM I DUGOVIMA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13.</w:t>
      </w:r>
    </w:p>
    <w:p w:rsidR="00E40A12" w:rsidRDefault="00E40A12" w:rsidP="00E40A12">
      <w:pPr>
        <w:pStyle w:val="NormalWeb"/>
        <w:spacing w:before="0" w:beforeAutospacing="0" w:after="0"/>
        <w:ind w:right="-29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Slobodnim novčanim sredstvima Proračuna upravlja </w:t>
      </w:r>
      <w:r>
        <w:rPr>
          <w:rFonts w:ascii="Tahoma" w:hAnsi="Tahoma" w:cs="Tahoma"/>
          <w:color w:val="000000"/>
          <w:sz w:val="22"/>
          <w:szCs w:val="22"/>
        </w:rPr>
        <w:t>Općinski načelnik</w:t>
      </w:r>
      <w:r>
        <w:rPr>
          <w:rFonts w:ascii="Tahoma" w:hAnsi="Tahoma" w:cs="Tahoma"/>
          <w:sz w:val="22"/>
          <w:szCs w:val="22"/>
        </w:rPr>
        <w:t xml:space="preserve"> i može ih ulagati u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banke i vrijednosne papire, poštujući načela sigurnosti, likvidnosti i isplativosti ulaganja, a ne smiju se ulagati u dionice i udjele trgovačkih društava.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>Članak 14.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Sredstva od prodaje i zamjene nefinancijske dugotrajne imovine i naknada štete s osnova osiguranja mogu se koristiti isključivo za održavanje ili kupnju nefinancijske imovine. Upravljanje nefinancijskom imovinom podrazumijeva njeno korištenje, održavanje i davanje u zakup. Odgovorna osoba proračunskog korisnika mora upravljati imovinom pažnjom dobrog gospodarstvenika i voditi popis o toj imovini u skladu sa zakonom.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15.</w:t>
      </w:r>
    </w:p>
    <w:p w:rsidR="00E40A12" w:rsidRDefault="00E40A12" w:rsidP="00E40A12">
      <w:pPr>
        <w:autoSpaceDE w:val="0"/>
        <w:autoSpaceDN w:val="0"/>
        <w:adjustRightInd w:val="0"/>
        <w:spacing w:after="0"/>
        <w:ind w:right="-29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Općina Pitomača ne može se zadužiti bez potvrde Općinskog vijeća i prethodne suglasnosti Vlade Republike Hrvatske, a prema uvjetima utvrđenim Zakonom o proračunu. 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Trgovačka društva u pretežitom vlasništvu općine, kao i ustanove kojih je ista osnivač, ne mogu se zaduživati bez odluke Općinskog vijeća, osim kratkoročno kod poslovnih banaka radi otklanjanja privremene nelikvidnosti.</w:t>
      </w:r>
    </w:p>
    <w:p w:rsidR="00E40A12" w:rsidRDefault="00E40A12" w:rsidP="00E40A12">
      <w:pPr>
        <w:pStyle w:val="NormalWeb"/>
        <w:spacing w:before="0" w:beforeAutospacing="0" w:after="0"/>
        <w:ind w:right="-290"/>
        <w:rPr>
          <w:rFonts w:ascii="Tahoma" w:hAnsi="Tahoma" w:cs="Tahoma"/>
          <w:b/>
          <w:bCs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KORIŠTENJE VLASTITIH PRIHODA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16.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Prihodi koje ostvare proračunski korisnici vlastitom djelatnošću, ostaju na računu korisnika, te se konsolidiraju i iskazuju u financijskim izvještajima korisnika. Proračunski korisnici mogu preuzeti obveze i plaćati ih po stavkama rashoda za čije su financiranje planirani vlastiti prihodi, isključivo iz iznosa naplaćenih vlastitih prihoda.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NADZOR PRORAČUNSKIH KORISNIKA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17.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Općina Pitomača ima pravo nadzora nad financijskim, materijalnim i računovodstvenim poslovanjem svog proračunskog korisnika. Proračunski korisnici obvezni su dati sve potrebite podatke, isprave i izvješća koja se od njih zatraže. Ako se prilikom nadzora utvrdi da su proračunska sredstva bila upotrijebljena protivno zakonu i proračunskoj namjeni, poduzeti će se mjere da se nadoknade tako utrošena sredstva ili će se privremeno proračunskom korisniku obustaviti isplata sredstava na poziciji s koje su sredstva bila namjenski utrošena.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18.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Proračunski korisnici podnose Općinskom načelniku izvještaje o izvršenju za prvo polugodište tekuće godine do 05. srpnja tekuće, a godišnje izvještaje o izvršenju do kraja mjeseca siječnja naredne za prethodnu godinu.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KAZNE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19.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Novčanom kaznom od 500,00 do 1.000,00 kuna kazniti će se proračunski korisnik ako ne ispunjava obveze razreza i naplate vlastitih prihoda, ako ne planira vlastite prihode u svom financijskom planu, ako u rokovima određenim ovom Odlukom ne dostavi financijski plan i ostale financijske izvještaje, ako nenamjenski koristi proračunska sredstva.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ab/>
        <w:t>Novčanom kaznom od 1.000,00 kuna za prekršaje iz prethodnog stavka kazniti će se i odgovorna osoba proračunskog korisnika.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ZAVRŠNE ODREDBE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Članak 20.</w:t>
      </w:r>
    </w:p>
    <w:p w:rsidR="00E40A12" w:rsidRDefault="00E40A12" w:rsidP="00E40A12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Ova Odluka objaviti će se u „Službenim novinama“ Općine Pitomača, a stupa na snagu 01. siječnja 2020. godine.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center"/>
        <w:rPr>
          <w:rFonts w:ascii="Tahoma" w:hAnsi="Tahoma" w:cs="Tahoma"/>
          <w:bCs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KLASA: 400-04/19-01/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2189/16-19-1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Pitomača, __. prosinca 2019.</w:t>
      </w: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OPĆINA PITOMAČA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OPĆINSKO VIJEĆE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</w:t>
      </w:r>
      <w:r>
        <w:rPr>
          <w:rFonts w:ascii="Tahoma" w:hAnsi="Tahoma" w:cs="Tahoma"/>
        </w:rPr>
        <w:tab/>
        <w:t xml:space="preserve">                       PREDSJEDNIK:   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       Rikard Bakan,mag.oec.</w:t>
      </w: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spacing w:after="0"/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ind w:right="-290"/>
        <w:jc w:val="center"/>
        <w:rPr>
          <w:rFonts w:ascii="Tahoma" w:hAnsi="Tahoma" w:cs="Tahoma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  <w:sz w:val="22"/>
          <w:szCs w:val="22"/>
        </w:rPr>
      </w:pPr>
    </w:p>
    <w:p w:rsidR="00E40A12" w:rsidRDefault="00E40A12" w:rsidP="00E40A12">
      <w:pPr>
        <w:pStyle w:val="western"/>
        <w:spacing w:before="0" w:beforeAutospacing="0"/>
        <w:ind w:left="2124" w:right="-29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F11850" w:rsidRDefault="00E40A12" w:rsidP="00C934A7">
      <w:pPr>
        <w:pStyle w:val="NormalWeb"/>
        <w:spacing w:before="0" w:beforeAutospacing="0" w:after="0"/>
        <w:ind w:right="-284" w:firstLine="708"/>
        <w:jc w:val="both"/>
      </w:pPr>
      <w:r>
        <w:rPr>
          <w:rFonts w:ascii="Tahoma" w:hAnsi="Tahoma" w:cs="Tahoma"/>
          <w:sz w:val="22"/>
          <w:szCs w:val="22"/>
        </w:rPr>
        <w:lastRenderedPageBreak/>
        <w:t xml:space="preserve">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:rsidR="00F11850" w:rsidRDefault="00F11850"/>
    <w:sectPr w:rsidR="00F1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86B"/>
    <w:multiLevelType w:val="hybridMultilevel"/>
    <w:tmpl w:val="B270E30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809B2"/>
    <w:multiLevelType w:val="hybridMultilevel"/>
    <w:tmpl w:val="CCD210F2"/>
    <w:lvl w:ilvl="0" w:tplc="68469C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509DA"/>
    <w:multiLevelType w:val="hybridMultilevel"/>
    <w:tmpl w:val="362231D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3"/>
    <w:rsid w:val="0023728B"/>
    <w:rsid w:val="00413893"/>
    <w:rsid w:val="00415CE9"/>
    <w:rsid w:val="00A10EEC"/>
    <w:rsid w:val="00C934A7"/>
    <w:rsid w:val="00E40A12"/>
    <w:rsid w:val="00F1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E317-88A3-4901-AA33-11ADC45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12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A1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A12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40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A12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E40A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2"/>
    <w:rPr>
      <w:rFonts w:eastAsiaTheme="minorEastAsia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12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A12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A12"/>
    <w:pPr>
      <w:widowControl w:val="0"/>
      <w:spacing w:after="0" w:line="240" w:lineRule="auto"/>
      <w:ind w:right="-188"/>
      <w:jc w:val="both"/>
    </w:pPr>
    <w:rPr>
      <w:rFonts w:ascii="Tahoma" w:eastAsia="Times New Roman" w:hAnsi="Tahoma" w:cs="Tahoma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A12"/>
    <w:rPr>
      <w:rFonts w:ascii="Tahoma" w:eastAsia="Times New Roman" w:hAnsi="Tahoma" w:cs="Tahoma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A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A12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2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12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NoSpacingChar">
    <w:name w:val="No Spacing Char"/>
    <w:link w:val="NoSpacing"/>
    <w:uiPriority w:val="1"/>
    <w:locked/>
    <w:rsid w:val="00E40A1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40A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0A12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E40A1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E40A12"/>
    <w:pPr>
      <w:widowControl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E40A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basedOn w:val="Normal"/>
    <w:uiPriority w:val="99"/>
    <w:rsid w:val="00E40A1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</w:rPr>
  </w:style>
  <w:style w:type="paragraph" w:customStyle="1" w:styleId="box452934">
    <w:name w:val="box_452934"/>
    <w:basedOn w:val="Normal"/>
    <w:uiPriority w:val="99"/>
    <w:semiHidden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DefaultParagraphFont"/>
    <w:link w:val="Tijeloteksta1"/>
    <w:locked/>
    <w:rsid w:val="00E40A12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E40A12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ox455020">
    <w:name w:val="box_455020"/>
    <w:basedOn w:val="Normal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sz w:val="20"/>
      <w:szCs w:val="20"/>
      <w:lang w:eastAsia="hr-HR"/>
    </w:rPr>
  </w:style>
  <w:style w:type="character" w:customStyle="1" w:styleId="HeaderChar1">
    <w:name w:val="Head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CommentSubjectChar1">
    <w:name w:val="Comment Subject Char1"/>
    <w:basedOn w:val="CommentTextChar1"/>
    <w:uiPriority w:val="99"/>
    <w:semiHidden/>
    <w:rsid w:val="00E40A12"/>
    <w:rPr>
      <w:rFonts w:ascii="Times New Roman" w:eastAsiaTheme="minorEastAsia" w:hAnsi="Times New Roman" w:cs="Times New Roman" w:hint="default"/>
      <w:b/>
      <w:bCs/>
      <w:sz w:val="20"/>
      <w:szCs w:val="20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E40A12"/>
    <w:rPr>
      <w:rFonts w:ascii="Segoe UI" w:eastAsiaTheme="minorEastAsia" w:hAnsi="Segoe UI" w:cs="Segoe UI" w:hint="default"/>
      <w:sz w:val="18"/>
      <w:szCs w:val="18"/>
      <w:lang w:eastAsia="hr-HR"/>
    </w:rPr>
  </w:style>
  <w:style w:type="character" w:styleId="Strong">
    <w:name w:val="Strong"/>
    <w:basedOn w:val="DefaultParagraphFont"/>
    <w:qFormat/>
    <w:rsid w:val="00E40A12"/>
    <w:rPr>
      <w:b/>
      <w:bCs/>
    </w:rPr>
  </w:style>
  <w:style w:type="character" w:styleId="Emphasis">
    <w:name w:val="Emphasis"/>
    <w:basedOn w:val="DefaultParagraphFont"/>
    <w:qFormat/>
    <w:rsid w:val="00E40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7</cp:revision>
  <dcterms:created xsi:type="dcterms:W3CDTF">2019-11-22T12:47:00Z</dcterms:created>
  <dcterms:modified xsi:type="dcterms:W3CDTF">2019-11-25T09:03:00Z</dcterms:modified>
</cp:coreProperties>
</file>